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rPr>
          <w:b/>
          <w:lang w:val="en-IE"/>
        </w:rPr>
        <w:t>[MAT:Code]/[MAT:FeCode]/[UDF:SecRef]</w:t>
      </w:r>
    </w:p>
    <w:p>
      <w:pPr>
        <w:pStyle w:val="References"/>
      </w:pPr>
      <w:r>
        <w:t>[CAN:SolRef.Solicitors#01]</w:t>
      </w:r>
    </w:p>
    <w:p>
      <w:pPr>
        <w:pStyle w:val="References"/>
      </w:pPr>
      <w:r>
        <w:t>[DATE:Today]</w:t>
      </w:r>
    </w:p>
    <w:p>
      <w:pPr>
        <w:jc w:val="both"/>
        <w:rPr>
          <w:lang w:val="en-IE"/>
        </w:rPr>
      </w:pPr>
    </w:p>
    <w:p>
      <w:pPr>
        <w:jc w:val="both"/>
        <w:rPr>
          <w:lang w:val="en-IE"/>
        </w:rPr>
      </w:pPr>
    </w:p>
    <w:p>
      <w:pPr>
        <w:jc w:val="both"/>
        <w:rPr>
          <w:lang w:val="en-IE"/>
        </w:rPr>
      </w:pPr>
    </w:p>
    <w:p>
      <w:pPr>
        <w:tabs>
          <w:tab w:val="left" w:pos="0"/>
          <w:tab w:val="left" w:pos="848"/>
          <w:tab w:val="left" w:pos="5670"/>
          <w:tab w:val="left" w:pos="5760"/>
        </w:tabs>
        <w:suppressAutoHyphens/>
        <w:jc w:val="both"/>
      </w:pPr>
      <w:r>
        <w:t>[CAN:Name.Solicitors#01]</w:t>
      </w:r>
    </w:p>
    <w:p>
      <w:pPr>
        <w:tabs>
          <w:tab w:val="left" w:pos="0"/>
          <w:tab w:val="left" w:pos="848"/>
          <w:tab w:val="left" w:pos="5670"/>
          <w:tab w:val="left" w:pos="5760"/>
        </w:tabs>
        <w:suppressAutoHyphens/>
        <w:jc w:val="both"/>
      </w:pPr>
      <w:r>
        <w:t>[CAN:Address.Solicitors#01]</w:t>
      </w:r>
    </w:p>
    <w:p>
      <w:pPr>
        <w:jc w:val="both"/>
        <w:rPr>
          <w:lang w:val="en-IE"/>
        </w:rPr>
      </w:pPr>
    </w:p>
    <w:p>
      <w:pPr>
        <w:jc w:val="both"/>
        <w:rPr>
          <w:lang w:val="en-IE"/>
        </w:rPr>
      </w:pPr>
    </w:p>
    <w:p>
      <w:pPr>
        <w:jc w:val="both"/>
        <w:rPr>
          <w:lang w:val="en-IE"/>
        </w:rPr>
      </w:pPr>
    </w:p>
    <w:p>
      <w:pPr>
        <w:jc w:val="both"/>
      </w:pPr>
      <w:r>
        <w:rPr>
          <w:lang w:val="en-IE"/>
        </w:rPr>
        <w:t>RE:</w:t>
      </w:r>
      <w:r>
        <w:rPr>
          <w:lang w:val="en-IE"/>
        </w:rPr>
        <w:tab/>
        <w:t>[CNT:Name]</w:t>
      </w:r>
      <w:r>
        <w:rPr>
          <w:b/>
          <w:lang w:val="en-IE"/>
        </w:rPr>
        <w:t xml:space="preserve"> </w:t>
      </w:r>
      <w:r>
        <w:rPr>
          <w:lang w:val="en-IE"/>
        </w:rPr>
        <w:t>–v- [CAN:Name.Defendant#@&amp;]</w:t>
      </w:r>
    </w:p>
    <w:p>
      <w:pPr>
        <w:jc w:val="both"/>
      </w:pPr>
      <w:r>
        <w:rPr>
          <w:lang w:val="en-IE"/>
        </w:rPr>
        <w:tab/>
        <w:t>The Circuit Court Record No. [CSM:CsPlaintNo]</w:t>
      </w:r>
    </w:p>
    <w:p>
      <w:pPr>
        <w:jc w:val="both"/>
      </w:pPr>
      <w:r>
        <w:rPr>
          <w:b/>
          <w:lang w:val="en-IE"/>
        </w:rPr>
        <w:t>_________________________________________</w:t>
      </w:r>
    </w:p>
    <w:p>
      <w:pPr>
        <w:rPr>
          <w:lang w:val="en-IE"/>
        </w:rPr>
      </w:pPr>
    </w:p>
    <w:p>
      <w:pPr>
        <w:rPr>
          <w:lang w:val="en-IE"/>
        </w:rPr>
      </w:pPr>
    </w:p>
    <w:p>
      <w:pPr>
        <w:jc w:val="both"/>
        <w:rPr>
          <w:lang w:val="en-IE"/>
        </w:rPr>
      </w:pPr>
      <w:r>
        <w:rPr>
          <w:lang w:val="en-IE"/>
        </w:rPr>
        <w:t>Dear Sirs,</w:t>
      </w:r>
    </w:p>
    <w:p>
      <w:pPr>
        <w:jc w:val="both"/>
        <w:rPr>
          <w:lang w:val="en-IE"/>
        </w:rPr>
      </w:pPr>
    </w:p>
    <w:p>
      <w:pPr>
        <w:jc w:val="both"/>
        <w:rPr>
          <w:lang w:val="en-IE"/>
        </w:rPr>
      </w:pPr>
      <w:r>
        <w:rPr>
          <w:b/>
          <w:lang w:val="en-IE"/>
        </w:rPr>
        <w:t xml:space="preserve">TAKE NOTICE </w:t>
      </w:r>
      <w:r>
        <w:rPr>
          <w:lang w:val="en-IE"/>
        </w:rPr>
        <w:t>that as Solicitors for the Plaintiff, and pursuant to Order 31 Rule 12 of the Rules of the Superior Courts, we hereby request that the Defendant agree to make Voluntary Discovery of the following categories of documents and records which are now or which ever have been within the Defendant’s power, procurement and possession and specifically:-</w:t>
      </w:r>
    </w:p>
    <w:p>
      <w:pPr>
        <w:jc w:val="both"/>
        <w:rPr>
          <w:lang w:val="en-IE"/>
        </w:rPr>
      </w:pPr>
    </w:p>
    <w:p>
      <w:pPr>
        <w:numPr>
          <w:ilvl w:val="0"/>
          <w:numId w:val="1"/>
        </w:numPr>
        <w:jc w:val="both"/>
        <w:rPr>
          <w:lang w:val="en-IE"/>
        </w:rPr>
      </w:pPr>
    </w:p>
    <w:p>
      <w:pPr>
        <w:jc w:val="both"/>
        <w:rPr>
          <w:lang w:val="en-IE"/>
        </w:rPr>
      </w:pPr>
    </w:p>
    <w:p>
      <w:pPr>
        <w:jc w:val="both"/>
        <w:rPr>
          <w:lang w:val="en-IE"/>
        </w:rPr>
      </w:pPr>
      <w:r>
        <w:rPr>
          <w:lang w:val="en-IE"/>
        </w:rPr>
        <w:t xml:space="preserve">The documents are necessary and are of relevance because </w:t>
      </w:r>
    </w:p>
    <w:p>
      <w:pPr>
        <w:jc w:val="both"/>
        <w:rPr>
          <w:lang w:val="en-IE"/>
        </w:rPr>
      </w:pPr>
    </w:p>
    <w:p>
      <w:pPr>
        <w:jc w:val="both"/>
        <w:rPr>
          <w:lang w:val="en-IE"/>
        </w:rPr>
      </w:pPr>
      <w:r>
        <w:rPr>
          <w:lang w:val="en-IE"/>
        </w:rPr>
        <w:t>The Plaintiff is prepared to allow the Defendant 21 days for compliance with Voluntary Discovery.  The Voluntary Discovery should be in like manner and form as if directed by Court, that is by way of Affidavit of Discovery.  If Voluntary Discovery is not forthcoming, then an application will be brought to Court for Discovery by the Plaintiff and this letter will be produced by the Plaintiff to fix the Defendant with the costs of the application.</w:t>
      </w:r>
    </w:p>
    <w:p>
      <w:pPr>
        <w:rPr>
          <w:lang w:val="en-IE"/>
        </w:rPr>
      </w:pPr>
    </w:p>
    <w:p>
      <w:pPr>
        <w:rPr>
          <w:lang w:val="en-IE"/>
        </w:rPr>
      </w:pPr>
    </w:p>
    <w:p>
      <w:pPr>
        <w:rPr>
          <w:lang w:val="en-IE"/>
        </w:rPr>
      </w:pPr>
    </w:p>
    <w:p>
      <w:pPr>
        <w:rPr>
          <w:lang w:val="en-IE"/>
        </w:rPr>
      </w:pPr>
    </w:p>
    <w:p>
      <w:pPr>
        <w:rPr>
          <w:lang w:val="en-IE"/>
        </w:rPr>
      </w:pPr>
      <w:r>
        <w:rPr>
          <w:lang w:val="en-IE"/>
        </w:rPr>
        <w:t>Yours faithfully,</w:t>
      </w:r>
    </w:p>
    <w:p>
      <w:pPr>
        <w:rPr>
          <w:lang w:val="en-IE"/>
        </w:rPr>
      </w:pPr>
    </w:p>
    <w:p>
      <w:pPr>
        <w:rPr>
          <w:lang w:val="en-IE"/>
        </w:rPr>
      </w:pPr>
    </w:p>
    <w:p>
      <w:pPr>
        <w:rPr>
          <w:lang w:val="en-IE"/>
        </w:rPr>
      </w:pPr>
      <w:r>
        <w:rPr>
          <w:lang w:val="en-IE"/>
        </w:rPr>
        <w:t>_____________________</w:t>
      </w:r>
    </w:p>
    <w:p>
      <w:pPr>
        <w:rPr>
          <w:lang w:val="en-IE"/>
        </w:rPr>
      </w:pPr>
      <w:r>
        <w:rPr>
          <w:lang w:val="en-IE"/>
        </w:rPr>
        <w:t>[DIA:CompanyName]</w:t>
      </w:r>
    </w:p>
    <w:p>
      <w:r>
        <w:t>[MAT:FeEmail]</w:t>
      </w:r>
    </w:p>
    <w:sectPr>
      <w:headerReference w:type="even" r:id="rId7"/>
      <w:headerReference w:type="default" r:id="rId8"/>
      <w:footerReference w:type="even" r:id="rId9"/>
      <w:footerReference w:type="default" r:id="rId10"/>
      <w:headerReference w:type="first" r:id="rId11"/>
      <w:footerReference w:type="first" r:id="rId12"/>
      <w:pgSz w:w="12240" w:h="15840"/>
      <w:pgMar w:top="907" w:right="850" w:bottom="1417" w:left="1417" w:header="709" w:footer="709" w:gutter="0"/>
      <w:cols w:space="708"/>
      <w:titlePg/>
      <w:docGrid w:linePitch="360" w:charSpace="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1764D2"/>
    <w:multiLevelType w:val="hybridMultilevel"/>
    <w:tmpl w:val="4E7A1940"/>
    <w:lvl w:ilvl="0" w:tplc="51082BD2">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E88981A-C646-41F0-9F99-3697DDCCC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pPr>
      <w:widowControl w:val="0"/>
      <w:overflowPunct w:val="0"/>
      <w:autoSpaceDE w:val="0"/>
      <w:autoSpaceDN w:val="0"/>
      <w:adjustRightInd w:val="0"/>
      <w:textAlignment w:val="baseline"/>
    </w:pPr>
    <w:rPr>
      <w:rFonts w:ascii="Courier New" w:hAnsi="Courier New"/>
      <w:szCs w:val="20"/>
    </w:rPr>
  </w:style>
  <w:style w:type="paragraph" w:styleId="BalloonText">
    <w:name w:val="Balloon Text"/>
    <w:basedOn w:val="Normal"/>
    <w:semiHidden/>
    <w:rPr>
      <w:rFonts w:ascii="Tahoma" w:hAnsi="Tahoma" w:cs="Tahoma"/>
      <w:sz w:val="16"/>
      <w:szCs w:val="16"/>
    </w:rPr>
  </w:style>
  <w:style w:type="character" w:customStyle="1" w:styleId="EndnoteTextChar">
    <w:name w:val="Endnote Text Char"/>
    <w:link w:val="EndnoteText"/>
    <w:semiHidden/>
    <w:rPr>
      <w:rFonts w:ascii="Courier New" w:hAnsi="Courier New"/>
      <w:sz w:val="24"/>
      <w:lang w:val="en-GB" w:eastAsia="en-US"/>
    </w:rPr>
  </w:style>
  <w:style w:type="paragraph" w:customStyle="1" w:styleId="References">
    <w:name w:val="References"/>
    <w:basedOn w:val="EndnoteText"/>
    <w:link w:val="ReferencesChar"/>
    <w:pPr>
      <w:tabs>
        <w:tab w:val="left" w:pos="0"/>
        <w:tab w:val="left" w:pos="1100"/>
        <w:tab w:val="left" w:pos="5670"/>
        <w:tab w:val="left" w:pos="5760"/>
      </w:tabs>
      <w:suppressAutoHyphens/>
      <w:spacing w:after="120"/>
      <w:ind w:left="1080"/>
      <w:jc w:val="both"/>
    </w:pPr>
    <w:rPr>
      <w:rFonts w:ascii="Times New Roman" w:hAnsi="Times New Roman"/>
    </w:rPr>
  </w:style>
  <w:style w:type="character" w:customStyle="1" w:styleId="ReferencesChar">
    <w:name w:val="References Char"/>
    <w:basedOn w:val="EndnoteTextChar"/>
    <w:link w:val="References"/>
    <w:rPr>
      <w:rFonts w:ascii="Courier New" w:hAnsi="Courier New"/>
      <w:sz w:val="24"/>
      <w:lang w:val="en-GB" w:eastAsia="en-US"/>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szCs w:val="24"/>
      <w:lang w:val="en-GB"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183</Words>
  <Characters>1047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Bourke &amp; Co. Solicitors</Company>
  <LinksUpToDate>false</LinksUpToDate>
  <CharactersWithSpaces>1228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Burke &amp; Company Burke &amp; Compa</dc:creator>
  <cp:keywords/>
  <cp:lastModifiedBy>Art Kavanagh</cp:lastModifiedBy>
  <cp:revision>6</cp:revision>
  <cp:lastPrinted>2013-06-12T10:51:00Z</cp:lastPrinted>
  <dcterms:created xsi:type="dcterms:W3CDTF">2019-05-13T16:13:00Z</dcterms:created>
  <dcterms:modified xsi:type="dcterms:W3CDTF">2020-07-02T11:01:00Z</dcterms:modified>
</cp:coreProperties>
</file>